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676FE" w14:textId="20F199F6" w:rsidR="00225D55" w:rsidRDefault="007E1F9B" w:rsidP="00323EC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  <w:lang w:val="ru-RU"/>
        </w:rPr>
      </w:pPr>
      <w:r>
        <w:rPr>
          <w:b/>
          <w:color w:val="000000"/>
          <w:sz w:val="22"/>
          <w:szCs w:val="22"/>
          <w:lang w:val="ru-RU"/>
        </w:rPr>
        <w:t>К</w:t>
      </w:r>
      <w:r w:rsidR="00734171">
        <w:rPr>
          <w:b/>
          <w:color w:val="000000"/>
          <w:sz w:val="22"/>
          <w:szCs w:val="22"/>
          <w:lang w:val="ru-RU"/>
        </w:rPr>
        <w:t>ЛЮЧЕВЫЕ УСЛОВИЯ</w:t>
      </w:r>
      <w:r>
        <w:rPr>
          <w:b/>
          <w:color w:val="000000"/>
          <w:sz w:val="22"/>
          <w:szCs w:val="22"/>
          <w:lang w:val="ru-RU"/>
        </w:rPr>
        <w:t xml:space="preserve"> ОПЦИОННОЙ ПРОГРАММЫ ДЛЯ СОТРУДНИКОВ</w:t>
      </w:r>
      <w:r w:rsidR="00D502F1" w:rsidRPr="00B20B99">
        <w:rPr>
          <w:b/>
          <w:color w:val="000000"/>
          <w:sz w:val="22"/>
          <w:szCs w:val="22"/>
          <w:lang w:val="ru-RU"/>
        </w:rPr>
        <w:br/>
      </w:r>
      <w:bookmarkStart w:id="0" w:name="_30j0zll" w:colFirst="0" w:colLast="0"/>
      <w:bookmarkEnd w:id="0"/>
    </w:p>
    <w:p w14:paraId="5E90E1B9" w14:textId="2CEA340E" w:rsidR="007E1F9B" w:rsidRDefault="007E1F9B" w:rsidP="007E1F9B">
      <w:pPr>
        <w:pBdr>
          <w:top w:val="nil"/>
          <w:left w:val="nil"/>
          <w:bottom w:val="nil"/>
          <w:right w:val="nil"/>
          <w:between w:val="nil"/>
        </w:pBdr>
        <w:spacing w:after="240"/>
        <w:ind w:right="-43"/>
        <w:jc w:val="both"/>
        <w:rPr>
          <w:color w:val="000000"/>
          <w:sz w:val="22"/>
          <w:szCs w:val="22"/>
          <w:lang w:val="ru-RU"/>
        </w:rPr>
      </w:pPr>
      <w:r w:rsidRPr="007E1F9B">
        <w:rPr>
          <w:color w:val="000000"/>
          <w:sz w:val="22"/>
          <w:szCs w:val="22"/>
          <w:lang w:val="ru-RU"/>
        </w:rPr>
        <w:t>Настоящий</w:t>
      </w:r>
      <w:r>
        <w:rPr>
          <w:color w:val="000000"/>
          <w:sz w:val="22"/>
          <w:szCs w:val="22"/>
          <w:lang w:val="ru-RU"/>
        </w:rPr>
        <w:t xml:space="preserve"> документ подготовлен в соответствии с о</w:t>
      </w:r>
      <w:r w:rsidRPr="007E1F9B">
        <w:rPr>
          <w:color w:val="000000"/>
          <w:sz w:val="22"/>
          <w:szCs w:val="22"/>
          <w:lang w:val="ru-RU"/>
        </w:rPr>
        <w:t>пционн</w:t>
      </w:r>
      <w:r>
        <w:rPr>
          <w:color w:val="000000"/>
          <w:sz w:val="22"/>
          <w:szCs w:val="22"/>
          <w:lang w:val="ru-RU"/>
        </w:rPr>
        <w:t xml:space="preserve">ой </w:t>
      </w:r>
      <w:r w:rsidRPr="007E1F9B">
        <w:rPr>
          <w:color w:val="000000"/>
          <w:sz w:val="22"/>
          <w:szCs w:val="22"/>
          <w:lang w:val="ru-RU"/>
        </w:rPr>
        <w:t>программ</w:t>
      </w:r>
      <w:r>
        <w:rPr>
          <w:color w:val="000000"/>
          <w:sz w:val="22"/>
          <w:szCs w:val="22"/>
          <w:lang w:val="ru-RU"/>
        </w:rPr>
        <w:t>ой</w:t>
      </w:r>
      <w:r w:rsidRPr="007E1F9B">
        <w:rPr>
          <w:color w:val="000000"/>
          <w:sz w:val="22"/>
          <w:szCs w:val="22"/>
          <w:lang w:val="ru-RU"/>
        </w:rPr>
        <w:t xml:space="preserve"> для сотрудников ООО «[</w:t>
      </w:r>
      <w:r w:rsidRPr="007E1F9B">
        <w:rPr>
          <w:color w:val="000000"/>
          <w:sz w:val="22"/>
          <w:szCs w:val="22"/>
          <w:highlight w:val="yellow"/>
          <w:lang w:val="ru-RU"/>
        </w:rPr>
        <w:t>Наименование</w:t>
      </w:r>
      <w:r w:rsidRPr="007E1F9B">
        <w:rPr>
          <w:color w:val="000000"/>
          <w:sz w:val="22"/>
          <w:szCs w:val="22"/>
          <w:lang w:val="ru-RU"/>
        </w:rPr>
        <w:t>]»</w:t>
      </w:r>
      <w:r>
        <w:rPr>
          <w:color w:val="000000"/>
          <w:sz w:val="22"/>
          <w:szCs w:val="22"/>
          <w:lang w:val="ru-RU"/>
        </w:rPr>
        <w:t xml:space="preserve"> («</w:t>
      </w:r>
      <w:r w:rsidRPr="007E1F9B">
        <w:rPr>
          <w:b/>
          <w:bCs/>
          <w:color w:val="000000"/>
          <w:sz w:val="22"/>
          <w:szCs w:val="22"/>
          <w:lang w:val="ru-RU"/>
        </w:rPr>
        <w:t>Общество</w:t>
      </w:r>
      <w:r>
        <w:rPr>
          <w:color w:val="000000"/>
          <w:sz w:val="22"/>
          <w:szCs w:val="22"/>
          <w:lang w:val="ru-RU"/>
        </w:rPr>
        <w:t xml:space="preserve">») от </w:t>
      </w:r>
      <w:r w:rsidRPr="007E1F9B">
        <w:rPr>
          <w:color w:val="000000"/>
          <w:sz w:val="22"/>
          <w:szCs w:val="22"/>
          <w:lang w:val="ru-RU"/>
        </w:rPr>
        <w:t>[</w:t>
      </w:r>
      <w:r w:rsidRPr="007E1F9B">
        <w:rPr>
          <w:color w:val="000000"/>
          <w:sz w:val="22"/>
          <w:szCs w:val="22"/>
          <w:highlight w:val="yellow"/>
          <w:lang w:val="ru-RU"/>
        </w:rPr>
        <w:t>дата</w:t>
      </w:r>
      <w:r w:rsidRPr="007E1F9B">
        <w:rPr>
          <w:color w:val="000000"/>
          <w:sz w:val="22"/>
          <w:szCs w:val="22"/>
          <w:lang w:val="ru-RU"/>
        </w:rPr>
        <w:t>]</w:t>
      </w:r>
      <w:r>
        <w:rPr>
          <w:color w:val="000000"/>
          <w:sz w:val="22"/>
          <w:szCs w:val="22"/>
          <w:lang w:val="ru-RU"/>
        </w:rPr>
        <w:t xml:space="preserve"> («</w:t>
      </w:r>
      <w:r w:rsidRPr="007E1F9B">
        <w:rPr>
          <w:b/>
          <w:bCs/>
          <w:color w:val="000000"/>
          <w:sz w:val="22"/>
          <w:szCs w:val="22"/>
          <w:lang w:val="ru-RU"/>
        </w:rPr>
        <w:t>Опционная программа</w:t>
      </w:r>
      <w:r>
        <w:rPr>
          <w:color w:val="000000"/>
          <w:sz w:val="22"/>
          <w:szCs w:val="22"/>
          <w:lang w:val="ru-RU"/>
        </w:rPr>
        <w:t>»)</w:t>
      </w:r>
      <w:r w:rsidR="007E36FE">
        <w:rPr>
          <w:color w:val="000000"/>
          <w:sz w:val="22"/>
          <w:szCs w:val="22"/>
          <w:lang w:val="ru-RU"/>
        </w:rPr>
        <w:t xml:space="preserve"> и соглашения о присоединении к ней. Опционная программа и соглашение о присоединении к ней устанавливают условия и процедуру для получения долей в уставном капитале Общества сотрудниками, консультантами, исполнителями и независимыми подрядчиками Общества.</w:t>
      </w:r>
    </w:p>
    <w:p w14:paraId="3DEC964F" w14:textId="168F498F" w:rsidR="007E36FE" w:rsidRDefault="007E36FE" w:rsidP="007E1F9B">
      <w:pPr>
        <w:pBdr>
          <w:top w:val="nil"/>
          <w:left w:val="nil"/>
          <w:bottom w:val="nil"/>
          <w:right w:val="nil"/>
          <w:between w:val="nil"/>
        </w:pBdr>
        <w:spacing w:after="240"/>
        <w:ind w:right="-43"/>
        <w:jc w:val="both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 xml:space="preserve">Все сокращения и термины, используемые в данном документе, </w:t>
      </w:r>
      <w:r w:rsidR="009D757C">
        <w:rPr>
          <w:color w:val="000000"/>
          <w:sz w:val="22"/>
          <w:szCs w:val="22"/>
          <w:lang w:val="ru-RU"/>
        </w:rPr>
        <w:t>заимствованы</w:t>
      </w:r>
      <w:r>
        <w:rPr>
          <w:color w:val="000000"/>
          <w:sz w:val="22"/>
          <w:szCs w:val="22"/>
          <w:lang w:val="ru-RU"/>
        </w:rPr>
        <w:t xml:space="preserve"> из Опционной программы или соглашения о присоединении к ней</w:t>
      </w:r>
      <w:r w:rsidR="009D757C">
        <w:rPr>
          <w:color w:val="000000"/>
          <w:sz w:val="22"/>
          <w:szCs w:val="22"/>
          <w:lang w:val="ru-RU"/>
        </w:rPr>
        <w:t xml:space="preserve"> и определяются в соответствии с ними. </w:t>
      </w:r>
    </w:p>
    <w:p w14:paraId="331D1A2B" w14:textId="17530FC2" w:rsidR="00D502F1" w:rsidRPr="00D502F1" w:rsidRDefault="009D757C" w:rsidP="009D757C">
      <w:pPr>
        <w:pBdr>
          <w:top w:val="nil"/>
          <w:left w:val="nil"/>
          <w:bottom w:val="nil"/>
          <w:right w:val="nil"/>
          <w:between w:val="nil"/>
        </w:pBdr>
        <w:spacing w:after="240"/>
        <w:ind w:right="-43"/>
        <w:jc w:val="both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 xml:space="preserve">Документ подготовлен исключительно для удобства чтения и восприятия Опционной программы и соглашения о присоединении к ней, он не является исчерпывающим и не заменяет собой Опционную программу или соглашение о присоединении к ней. В случае любого противоречия между документом и Опционной программой или соглашением о присоединении к ней применяется соответствующее положение Опционной программы или соглашения о присоединении к ней. </w:t>
      </w:r>
    </w:p>
    <w:tbl>
      <w:tblPr>
        <w:tblStyle w:val="a5"/>
        <w:tblW w:w="9214" w:type="dxa"/>
        <w:tblInd w:w="0" w:type="dxa"/>
        <w:tblLayout w:type="fixed"/>
        <w:tblCellMar>
          <w:right w:w="144" w:type="dxa"/>
        </w:tblCellMar>
        <w:tblLook w:val="0400" w:firstRow="0" w:lastRow="0" w:firstColumn="0" w:lastColumn="0" w:noHBand="0" w:noVBand="1"/>
      </w:tblPr>
      <w:tblGrid>
        <w:gridCol w:w="1980"/>
        <w:gridCol w:w="7234"/>
      </w:tblGrid>
      <w:tr w:rsidR="00C84702" w:rsidRPr="000F0E24" w14:paraId="1B0A391B" w14:textId="77777777" w:rsidTr="006E57FD">
        <w:tc>
          <w:tcPr>
            <w:tcW w:w="1980" w:type="dxa"/>
          </w:tcPr>
          <w:p w14:paraId="2231E390" w14:textId="025A7412" w:rsidR="00C84702" w:rsidRDefault="008C26E9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1" w:name="_Hlk39098289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Определения (раздел 1)</w:t>
            </w:r>
          </w:p>
        </w:tc>
        <w:tc>
          <w:tcPr>
            <w:tcW w:w="7234" w:type="dxa"/>
          </w:tcPr>
          <w:p w14:paraId="6EF3D39E" w14:textId="155278A2" w:rsidR="00C84702" w:rsidRPr="00C84702" w:rsidRDefault="008C26E9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В данном разделе приведены все определения, среди которых такие важные, как: График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вестинга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, Доля Сотрудника, Непрерывная деятельность, Оценка Общества, Период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вестинга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, Период для реализации опционов, Размер вклада Сотрудника. </w:t>
            </w:r>
          </w:p>
        </w:tc>
      </w:tr>
      <w:tr w:rsidR="007376BB" w:rsidRPr="000F0E24" w14:paraId="46293F4E" w14:textId="77777777" w:rsidTr="006E57FD">
        <w:tc>
          <w:tcPr>
            <w:tcW w:w="1980" w:type="dxa"/>
          </w:tcPr>
          <w:p w14:paraId="7707CBBD" w14:textId="4043A2C5" w:rsidR="007376BB" w:rsidRPr="00C84702" w:rsidRDefault="001C3ED7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2" w:name="_Ref39249525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Опционный пул (раздел 3)</w:t>
            </w:r>
            <w:bookmarkEnd w:id="2"/>
          </w:p>
        </w:tc>
        <w:tc>
          <w:tcPr>
            <w:tcW w:w="7234" w:type="dxa"/>
          </w:tcPr>
          <w:p w14:paraId="01201098" w14:textId="080FE93C" w:rsidR="00DB5CB8" w:rsidRPr="00DB5CB8" w:rsidRDefault="001C3ED7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Размер Опционного пула – доля в уставном капитале Общества номинальной стоимостью </w:t>
            </w:r>
            <w:r w:rsidRPr="001C3ED7">
              <w:rPr>
                <w:color w:val="000000"/>
                <w:sz w:val="22"/>
                <w:szCs w:val="22"/>
                <w:lang w:val="ru-RU"/>
              </w:rPr>
              <w:t>[</w:t>
            </w:r>
            <w:r w:rsidRPr="001C3ED7">
              <w:rPr>
                <w:color w:val="000000"/>
                <w:sz w:val="22"/>
                <w:szCs w:val="22"/>
                <w:highlight w:val="yellow"/>
                <w:lang w:val="ru-RU"/>
              </w:rPr>
              <w:t>1 000</w:t>
            </w:r>
            <w:r w:rsidRPr="001C3ED7">
              <w:rPr>
                <w:color w:val="000000"/>
                <w:sz w:val="22"/>
                <w:szCs w:val="22"/>
                <w:lang w:val="ru-RU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рублей, а в процентном выражении – не более </w:t>
            </w:r>
            <w:r w:rsidRPr="001C3ED7">
              <w:rPr>
                <w:color w:val="000000"/>
                <w:sz w:val="22"/>
                <w:szCs w:val="22"/>
                <w:lang w:val="ru-RU"/>
              </w:rPr>
              <w:t>[</w:t>
            </w:r>
            <w:r w:rsidRPr="001C3ED7">
              <w:rPr>
                <w:color w:val="000000"/>
                <w:sz w:val="22"/>
                <w:szCs w:val="22"/>
                <w:highlight w:val="yellow"/>
                <w:lang w:val="ru-RU"/>
              </w:rPr>
              <w:t>10%</w:t>
            </w:r>
            <w:r w:rsidRPr="001C3ED7">
              <w:rPr>
                <w:color w:val="000000"/>
                <w:sz w:val="22"/>
                <w:szCs w:val="22"/>
                <w:lang w:val="ru-RU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>. Доли из Опционного пула выделяются Получателям опциона путем увеличения уставного капитала Общества.</w:t>
            </w:r>
          </w:p>
        </w:tc>
      </w:tr>
      <w:tr w:rsidR="003D63F5" w:rsidRPr="000F0E24" w14:paraId="5C53393F" w14:textId="77777777" w:rsidTr="006E57FD">
        <w:tc>
          <w:tcPr>
            <w:tcW w:w="1980" w:type="dxa"/>
          </w:tcPr>
          <w:p w14:paraId="1DB32AA1" w14:textId="3D7DADAD" w:rsidR="003D63F5" w:rsidRDefault="001C3ED7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Процедура выделения долей (раздел 4)</w:t>
            </w:r>
          </w:p>
        </w:tc>
        <w:tc>
          <w:tcPr>
            <w:tcW w:w="7234" w:type="dxa"/>
          </w:tcPr>
          <w:p w14:paraId="5A3F918A" w14:textId="77777777" w:rsidR="00F36540" w:rsidRDefault="001C3ED7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Если наступили все условия, предусмотренные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Вестингом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, то Получатель опциона в течение </w:t>
            </w:r>
            <w:r w:rsidRPr="001C3ED7">
              <w:rPr>
                <w:color w:val="000000"/>
                <w:sz w:val="22"/>
                <w:szCs w:val="22"/>
                <w:lang w:val="ru-RU"/>
              </w:rPr>
              <w:t>[</w:t>
            </w:r>
            <w:r w:rsidRPr="001C3ED7">
              <w:rPr>
                <w:color w:val="000000"/>
                <w:sz w:val="22"/>
                <w:szCs w:val="22"/>
                <w:highlight w:val="yellow"/>
                <w:lang w:val="ru-RU"/>
              </w:rPr>
              <w:t>30</w:t>
            </w:r>
            <w:r w:rsidRPr="001C3ED7">
              <w:rPr>
                <w:color w:val="000000"/>
                <w:sz w:val="22"/>
                <w:szCs w:val="22"/>
                <w:lang w:val="ru-RU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календарных дней должен направить в Общество Заявление установленной формы (Приложение 2) и оплатить увеличение уставного капитала Общества в его пользу. Если срок просрочен, то Получатель опциона может направить такое Заявление только в следующем году. </w:t>
            </w:r>
          </w:p>
          <w:p w14:paraId="7D771450" w14:textId="41B67D58" w:rsidR="003D63F5" w:rsidRPr="004A7099" w:rsidRDefault="00F36540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Общее собрание участников собирается в период с </w:t>
            </w:r>
            <w:r w:rsidR="004A7099" w:rsidRPr="004A7099">
              <w:rPr>
                <w:color w:val="000000"/>
                <w:sz w:val="22"/>
                <w:szCs w:val="22"/>
                <w:lang w:val="ru-RU"/>
              </w:rPr>
              <w:t>[</w:t>
            </w:r>
            <w:r w:rsidRPr="004A7099">
              <w:rPr>
                <w:color w:val="000000"/>
                <w:sz w:val="22"/>
                <w:szCs w:val="22"/>
                <w:highlight w:val="yellow"/>
                <w:lang w:val="ru-RU"/>
              </w:rPr>
              <w:t>1 мая по 1 июля</w:t>
            </w:r>
            <w:r w:rsidR="004A7099" w:rsidRPr="004A7099">
              <w:rPr>
                <w:color w:val="000000"/>
                <w:sz w:val="22"/>
                <w:szCs w:val="22"/>
                <w:lang w:val="ru-RU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каждый год и разом принимает в состав участников Общества всех Получателей опционов, которые своевременно</w:t>
            </w:r>
            <w:r w:rsidR="001C3ED7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4A7099">
              <w:rPr>
                <w:color w:val="000000"/>
                <w:sz w:val="22"/>
                <w:szCs w:val="22"/>
                <w:lang w:val="ru-RU"/>
              </w:rPr>
              <w:t>направили Заявление и оплатили увеличение уставного капитала Общества.</w:t>
            </w:r>
          </w:p>
        </w:tc>
      </w:tr>
      <w:tr w:rsidR="00682B69" w:rsidRPr="000F0E24" w14:paraId="51921FA6" w14:textId="77777777" w:rsidTr="006E57FD">
        <w:tc>
          <w:tcPr>
            <w:tcW w:w="1980" w:type="dxa"/>
          </w:tcPr>
          <w:p w14:paraId="341FFD1E" w14:textId="76C18D70" w:rsidR="00682B69" w:rsidRDefault="004A7099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Непрерывная деятельность (раздел 5)</w:t>
            </w:r>
          </w:p>
        </w:tc>
        <w:tc>
          <w:tcPr>
            <w:tcW w:w="7234" w:type="dxa"/>
          </w:tcPr>
          <w:p w14:paraId="68CDACE2" w14:textId="54E7B7D3" w:rsidR="004A7099" w:rsidRPr="004A7099" w:rsidRDefault="004A7099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Общество, как разумный участник коммерческих отношений, заинтересовано в том, чтобы каждый Получатель опциона работал на Общество или оказывал Обществу соответствующие услуги</w:t>
            </w:r>
            <w:r w:rsidRPr="004A7099">
              <w:rPr>
                <w:color w:val="000000"/>
                <w:sz w:val="22"/>
                <w:szCs w:val="22"/>
                <w:lang w:val="ru-RU"/>
              </w:rPr>
              <w:t>/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работы без длительных или частых перерывов, а также не причинял Обществу вред в той или иной форме. </w:t>
            </w:r>
          </w:p>
          <w:p w14:paraId="61FA6401" w14:textId="78A87464" w:rsidR="004A7099" w:rsidRDefault="004A7099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Если же </w:t>
            </w:r>
            <w:r w:rsidR="007E482F">
              <w:rPr>
                <w:color w:val="000000"/>
                <w:sz w:val="22"/>
                <w:szCs w:val="22"/>
                <w:lang w:val="ru-RU"/>
              </w:rPr>
              <w:t>Общество вынуждено прекратить с Получателем опциона отношения, то наступают следующие последствия:</w:t>
            </w:r>
          </w:p>
          <w:p w14:paraId="718611B1" w14:textId="377C1621" w:rsidR="007E482F" w:rsidRDefault="007E482F" w:rsidP="007E482F">
            <w:pPr>
              <w:pStyle w:val="af2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357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в отсутствие вины Получателя опциона</w:t>
            </w:r>
            <w:r w:rsidR="00E02A9B">
              <w:rPr>
                <w:color w:val="000000"/>
                <w:sz w:val="22"/>
                <w:szCs w:val="22"/>
                <w:lang w:val="ru-RU"/>
              </w:rPr>
              <w:t xml:space="preserve"> он сохраняет за собой уже полученные доли и вправе получить те, в отношении которых выполнены все условия </w:t>
            </w:r>
            <w:proofErr w:type="spellStart"/>
            <w:r w:rsidR="007019AF">
              <w:rPr>
                <w:color w:val="000000"/>
                <w:sz w:val="22"/>
                <w:szCs w:val="22"/>
                <w:lang w:val="ru-RU"/>
              </w:rPr>
              <w:t>В</w:t>
            </w:r>
            <w:r w:rsidR="00E02A9B">
              <w:rPr>
                <w:color w:val="000000"/>
                <w:sz w:val="22"/>
                <w:szCs w:val="22"/>
                <w:lang w:val="ru-RU"/>
              </w:rPr>
              <w:t>естинга</w:t>
            </w:r>
            <w:proofErr w:type="spellEnd"/>
            <w:r w:rsidR="00E02A9B">
              <w:rPr>
                <w:color w:val="000000"/>
                <w:sz w:val="22"/>
                <w:szCs w:val="22"/>
                <w:lang w:val="ru-RU"/>
              </w:rPr>
              <w:t xml:space="preserve">, если в течение </w:t>
            </w:r>
            <w:r w:rsidR="00E02A9B" w:rsidRPr="00E02A9B">
              <w:rPr>
                <w:color w:val="000000"/>
                <w:sz w:val="22"/>
                <w:szCs w:val="22"/>
                <w:lang w:val="ru-RU"/>
              </w:rPr>
              <w:t>[</w:t>
            </w:r>
            <w:r w:rsidR="00E02A9B" w:rsidRPr="00E02A9B">
              <w:rPr>
                <w:color w:val="000000"/>
                <w:sz w:val="22"/>
                <w:szCs w:val="22"/>
                <w:highlight w:val="yellow"/>
                <w:lang w:val="ru-RU"/>
              </w:rPr>
              <w:t>60</w:t>
            </w:r>
            <w:r w:rsidR="00E02A9B" w:rsidRPr="00E02A9B">
              <w:rPr>
                <w:color w:val="000000"/>
                <w:sz w:val="22"/>
                <w:szCs w:val="22"/>
                <w:lang w:val="ru-RU"/>
              </w:rPr>
              <w:t>]</w:t>
            </w:r>
            <w:r w:rsidR="00E02A9B">
              <w:rPr>
                <w:color w:val="000000"/>
                <w:sz w:val="22"/>
                <w:szCs w:val="22"/>
                <w:lang w:val="ru-RU"/>
              </w:rPr>
              <w:t xml:space="preserve"> календарных дней направит Заявление;</w:t>
            </w:r>
          </w:p>
          <w:p w14:paraId="4A3E42B6" w14:textId="59D1FC5A" w:rsidR="00682B69" w:rsidRPr="00E02A9B" w:rsidRDefault="00E02A9B" w:rsidP="00323EC1">
            <w:pPr>
              <w:pStyle w:val="af2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357" w:hanging="357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lastRenderedPageBreak/>
              <w:t>в случае вины Получателя опциона он утрачивает права на опционы и обязан продать Участнику 1 принадлежащие ему доли с компенсацией причиненного Обществу вреда.</w:t>
            </w:r>
          </w:p>
        </w:tc>
      </w:tr>
      <w:tr w:rsidR="003C6343" w:rsidRPr="000F0E24" w14:paraId="6E5957B8" w14:textId="77777777" w:rsidTr="006E57FD">
        <w:tc>
          <w:tcPr>
            <w:tcW w:w="1980" w:type="dxa"/>
          </w:tcPr>
          <w:p w14:paraId="4C4D5CDB" w14:textId="6BBBD7DB" w:rsidR="003C6343" w:rsidRDefault="00E02A9B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3" w:name="_Ref40126795"/>
            <w:bookmarkStart w:id="4" w:name="_Ref40130548"/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lastRenderedPageBreak/>
              <w:t>Наследование (пункт 5.9)</w:t>
            </w:r>
            <w:bookmarkEnd w:id="3"/>
            <w:bookmarkEnd w:id="4"/>
          </w:p>
        </w:tc>
        <w:tc>
          <w:tcPr>
            <w:tcW w:w="7234" w:type="dxa"/>
          </w:tcPr>
          <w:p w14:paraId="4EF028C8" w14:textId="1127C2E5" w:rsidR="00DB5CB8" w:rsidRPr="00E02A9B" w:rsidRDefault="00E02A9B" w:rsidP="00E02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Права Получателя опциона не переходят по наследству. Доли, принадлежащие Получателю опциона, переходят по наследству, если это разрешено уставом Общества.</w:t>
            </w:r>
          </w:p>
        </w:tc>
      </w:tr>
      <w:tr w:rsidR="001C3AC5" w:rsidRPr="000F0E24" w14:paraId="5424C01F" w14:textId="77777777" w:rsidTr="006E57FD">
        <w:tc>
          <w:tcPr>
            <w:tcW w:w="1980" w:type="dxa"/>
          </w:tcPr>
          <w:p w14:paraId="104426F8" w14:textId="620A80E5" w:rsidR="001C3AC5" w:rsidRPr="00E52450" w:rsidRDefault="007019AF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Ограничения прав миноритариев (раздел 6)</w:t>
            </w:r>
          </w:p>
        </w:tc>
        <w:tc>
          <w:tcPr>
            <w:tcW w:w="7234" w:type="dxa"/>
          </w:tcPr>
          <w:p w14:paraId="0E32E208" w14:textId="30777068" w:rsidR="00E02A9B" w:rsidRDefault="007019AF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При получении долей Получатель опциона станет миноритарным участником Общества. С целью нивелировать несовершенство российского корпоративного законодательства и защитить интересы Общества Получатель опциона принимает на себя следующие обязательства:</w:t>
            </w:r>
          </w:p>
          <w:p w14:paraId="261A0D04" w14:textId="730F7AF1" w:rsidR="00520034" w:rsidRDefault="00520034" w:rsidP="00B91F31">
            <w:pPr>
              <w:numPr>
                <w:ilvl w:val="0"/>
                <w:numId w:val="22"/>
              </w:numPr>
              <w:spacing w:before="120" w:after="120"/>
              <w:ind w:left="588" w:hanging="588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отказаться от преимущественного права на покупку долей других участников</w:t>
            </w:r>
            <w:r w:rsidR="007019AF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в случае их продажи участниками;</w:t>
            </w:r>
          </w:p>
          <w:p w14:paraId="2E7AC190" w14:textId="08A09000" w:rsidR="007019AF" w:rsidRDefault="007019AF" w:rsidP="007019AF">
            <w:pPr>
              <w:numPr>
                <w:ilvl w:val="0"/>
                <w:numId w:val="22"/>
              </w:numPr>
              <w:spacing w:before="120" w:after="120"/>
              <w:ind w:left="588" w:hanging="588"/>
              <w:jc w:val="both"/>
              <w:rPr>
                <w:sz w:val="22"/>
                <w:szCs w:val="22"/>
                <w:lang w:val="ru-RU"/>
              </w:rPr>
            </w:pPr>
            <w:r w:rsidRPr="00B91F31">
              <w:rPr>
                <w:sz w:val="22"/>
                <w:szCs w:val="22"/>
                <w:lang w:val="ru-RU"/>
              </w:rPr>
              <w:t xml:space="preserve">присоединяться к продаже своей доли в уставном капитале </w:t>
            </w:r>
            <w:r>
              <w:rPr>
                <w:sz w:val="22"/>
                <w:szCs w:val="22"/>
                <w:lang w:val="ru-RU"/>
              </w:rPr>
              <w:t>Общества</w:t>
            </w:r>
            <w:r w:rsidRPr="00B91F31">
              <w:rPr>
                <w:sz w:val="22"/>
                <w:szCs w:val="22"/>
                <w:lang w:val="ru-RU"/>
              </w:rPr>
              <w:t xml:space="preserve">, если другие участники, обладающие в совокупности более чем 50% в уставном капитале </w:t>
            </w:r>
            <w:r>
              <w:rPr>
                <w:sz w:val="22"/>
                <w:szCs w:val="22"/>
                <w:lang w:val="ru-RU"/>
              </w:rPr>
              <w:t>Общества</w:t>
            </w:r>
            <w:r w:rsidRPr="00B91F31">
              <w:rPr>
                <w:sz w:val="22"/>
                <w:szCs w:val="22"/>
                <w:lang w:val="ru-RU"/>
              </w:rPr>
              <w:t>, примут решение о продаже 100% долей в уставном капитале Общества третьему лицу (</w:t>
            </w:r>
            <w:r w:rsidRPr="00B91F31">
              <w:rPr>
                <w:sz w:val="22"/>
                <w:szCs w:val="22"/>
                <w:lang w:val="en-US"/>
              </w:rPr>
              <w:t>drag</w:t>
            </w:r>
            <w:r w:rsidRPr="00B91F31">
              <w:rPr>
                <w:sz w:val="22"/>
                <w:szCs w:val="22"/>
                <w:lang w:val="ru-RU"/>
              </w:rPr>
              <w:t>-</w:t>
            </w:r>
            <w:r w:rsidRPr="00B91F31">
              <w:rPr>
                <w:sz w:val="22"/>
                <w:szCs w:val="22"/>
                <w:lang w:val="en-US"/>
              </w:rPr>
              <w:t>along</w:t>
            </w:r>
            <w:r w:rsidRPr="00B91F31">
              <w:rPr>
                <w:sz w:val="22"/>
                <w:szCs w:val="22"/>
                <w:lang w:val="ru-RU"/>
              </w:rPr>
              <w:t xml:space="preserve"> </w:t>
            </w:r>
            <w:r w:rsidRPr="00B91F31">
              <w:rPr>
                <w:sz w:val="22"/>
                <w:szCs w:val="22"/>
                <w:lang w:val="en-US"/>
              </w:rPr>
              <w:t>right</w:t>
            </w:r>
            <w:r w:rsidRPr="00B91F31">
              <w:rPr>
                <w:sz w:val="22"/>
                <w:szCs w:val="22"/>
                <w:lang w:val="ru-RU"/>
              </w:rPr>
              <w:t>)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18DC04EF" w14:textId="0C578DE7" w:rsidR="00B91F31" w:rsidRDefault="00B91F31" w:rsidP="00B91F31">
            <w:pPr>
              <w:numPr>
                <w:ilvl w:val="0"/>
                <w:numId w:val="22"/>
              </w:numPr>
              <w:spacing w:before="120" w:after="120"/>
              <w:ind w:left="588" w:hanging="588"/>
              <w:jc w:val="both"/>
              <w:rPr>
                <w:sz w:val="22"/>
                <w:szCs w:val="22"/>
                <w:lang w:val="ru-RU"/>
              </w:rPr>
            </w:pPr>
            <w:r w:rsidRPr="00B91F31">
              <w:rPr>
                <w:sz w:val="22"/>
                <w:szCs w:val="22"/>
                <w:lang w:val="ru-RU"/>
              </w:rPr>
              <w:t xml:space="preserve">во время голосования по вопросам, требующим единогласного решения участников </w:t>
            </w:r>
            <w:r w:rsidR="007019AF">
              <w:rPr>
                <w:sz w:val="22"/>
                <w:szCs w:val="22"/>
                <w:lang w:val="ru-RU"/>
              </w:rPr>
              <w:t>Общества</w:t>
            </w:r>
            <w:r w:rsidRPr="00B91F31">
              <w:rPr>
                <w:sz w:val="22"/>
                <w:szCs w:val="22"/>
                <w:lang w:val="ru-RU"/>
              </w:rPr>
              <w:t xml:space="preserve">, присоединяться к голосу одного или нескольких других участников </w:t>
            </w:r>
            <w:r w:rsidR="007019AF">
              <w:rPr>
                <w:sz w:val="22"/>
                <w:szCs w:val="22"/>
                <w:lang w:val="ru-RU"/>
              </w:rPr>
              <w:t xml:space="preserve">Общества под угрозой применения к нему положений о неустойке, а также выдать </w:t>
            </w:r>
            <w:r w:rsidR="007019AF" w:rsidRPr="007019AF">
              <w:rPr>
                <w:sz w:val="22"/>
                <w:szCs w:val="22"/>
                <w:lang w:val="ru-RU"/>
              </w:rPr>
              <w:t>[</w:t>
            </w:r>
            <w:r w:rsidR="007019AF" w:rsidRPr="007019AF">
              <w:rPr>
                <w:sz w:val="22"/>
                <w:szCs w:val="22"/>
                <w:highlight w:val="yellow"/>
                <w:lang w:val="ru-RU"/>
              </w:rPr>
              <w:t>Участнику 1</w:t>
            </w:r>
            <w:r w:rsidR="007019AF" w:rsidRPr="007019AF">
              <w:rPr>
                <w:sz w:val="22"/>
                <w:szCs w:val="22"/>
                <w:lang w:val="ru-RU"/>
              </w:rPr>
              <w:t>]</w:t>
            </w:r>
            <w:r w:rsidR="007019AF">
              <w:rPr>
                <w:sz w:val="22"/>
                <w:szCs w:val="22"/>
                <w:lang w:val="ru-RU"/>
              </w:rPr>
              <w:t xml:space="preserve"> безотзывную доверенность</w:t>
            </w:r>
            <w:r w:rsidRPr="00B91F31">
              <w:rPr>
                <w:sz w:val="22"/>
                <w:szCs w:val="22"/>
                <w:lang w:val="ru-RU"/>
              </w:rPr>
              <w:t>;</w:t>
            </w:r>
          </w:p>
          <w:p w14:paraId="15EB8C1F" w14:textId="05243D57" w:rsidR="007019AF" w:rsidRPr="00B91F31" w:rsidRDefault="007019AF" w:rsidP="00B91F31">
            <w:pPr>
              <w:numPr>
                <w:ilvl w:val="0"/>
                <w:numId w:val="22"/>
              </w:numPr>
              <w:spacing w:before="120" w:after="120"/>
              <w:ind w:left="588" w:hanging="588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получить согласие остальных участников Общества на отчуждение долей, принадлежащих Получателю опциона;</w:t>
            </w:r>
          </w:p>
          <w:p w14:paraId="42FEF880" w14:textId="146F4FB7" w:rsidR="00C9420E" w:rsidRDefault="00B91F31" w:rsidP="007019AF">
            <w:pPr>
              <w:numPr>
                <w:ilvl w:val="0"/>
                <w:numId w:val="22"/>
              </w:numPr>
              <w:spacing w:before="120" w:after="120"/>
              <w:ind w:left="588" w:hanging="588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не конкурировать с основной деятельностью </w:t>
            </w:r>
            <w:r w:rsidR="007019AF">
              <w:rPr>
                <w:sz w:val="22"/>
                <w:szCs w:val="22"/>
                <w:lang w:val="ru-RU"/>
              </w:rPr>
              <w:t>Общества; и</w:t>
            </w:r>
          </w:p>
          <w:p w14:paraId="2197B5C3" w14:textId="086080A1" w:rsidR="007019AF" w:rsidRPr="007019AF" w:rsidRDefault="007019AF" w:rsidP="007019AF">
            <w:pPr>
              <w:numPr>
                <w:ilvl w:val="0"/>
                <w:numId w:val="22"/>
              </w:numPr>
              <w:spacing w:before="120" w:after="120"/>
              <w:ind w:left="588" w:hanging="588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воздерживаться от реализации права на получение доступа к деятельности информации о деятельности Общества.</w:t>
            </w:r>
          </w:p>
        </w:tc>
      </w:tr>
      <w:tr w:rsidR="00686FF9" w:rsidRPr="000F0E24" w14:paraId="45F7E6DD" w14:textId="77777777" w:rsidTr="006E57FD">
        <w:tc>
          <w:tcPr>
            <w:tcW w:w="1980" w:type="dxa"/>
          </w:tcPr>
          <w:p w14:paraId="126A7869" w14:textId="34A3AC91" w:rsidR="00686FF9" w:rsidRDefault="003E6CCC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5" w:name="_Ref37107081"/>
            <w:bookmarkStart w:id="6" w:name="_Ref39432545"/>
            <w:bookmarkEnd w:id="1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Реорганизация Общества</w:t>
            </w:r>
            <w:bookmarkEnd w:id="5"/>
            <w:bookmarkEnd w:id="6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 xml:space="preserve"> (раздел 7)</w:t>
            </w:r>
          </w:p>
        </w:tc>
        <w:tc>
          <w:tcPr>
            <w:tcW w:w="7234" w:type="dxa"/>
          </w:tcPr>
          <w:p w14:paraId="199A0D2B" w14:textId="0C381D7D" w:rsidR="00686FF9" w:rsidRPr="007266D7" w:rsidRDefault="003E6CCC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В случаях реорганизации Общества, смены контроля в отношении него или отчуждения ключевых активов Общества опционы прекращаются, но органы управления Общества примут такое решение, которое будет справедливо учитывать интересы Получателя опциона.</w:t>
            </w:r>
          </w:p>
        </w:tc>
      </w:tr>
      <w:tr w:rsidR="00F94825" w:rsidRPr="000F0E24" w14:paraId="138C6267" w14:textId="77777777" w:rsidTr="006E57FD">
        <w:tc>
          <w:tcPr>
            <w:tcW w:w="1980" w:type="dxa"/>
          </w:tcPr>
          <w:p w14:paraId="75E6C6F7" w14:textId="64B0263F" w:rsidR="00F94825" w:rsidRDefault="003E6CCC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7" w:name="_Ref40131356"/>
            <w:bookmarkStart w:id="8" w:name="_Ref35283752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Размытие опционного пула (раздел 8)</w:t>
            </w:r>
            <w:bookmarkEnd w:id="7"/>
          </w:p>
        </w:tc>
        <w:tc>
          <w:tcPr>
            <w:tcW w:w="7234" w:type="dxa"/>
          </w:tcPr>
          <w:p w14:paraId="316BE712" w14:textId="02DDDB66" w:rsidR="00F94825" w:rsidRPr="003E6CCC" w:rsidRDefault="003E6CCC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Опционный пул и доли Получателя опциона будут размываться пропорционально в случае привлечения новых раундов финансирования, но предусмотрен механизм для защиты интересов Получателя опциона от преднамеренного размытия долей.</w:t>
            </w:r>
          </w:p>
        </w:tc>
      </w:tr>
      <w:tr w:rsidR="00686FF9" w:rsidRPr="000F0E24" w14:paraId="0CB61210" w14:textId="77777777" w:rsidTr="006E57FD">
        <w:tc>
          <w:tcPr>
            <w:tcW w:w="1980" w:type="dxa"/>
          </w:tcPr>
          <w:p w14:paraId="6E5DBECC" w14:textId="406FDC89" w:rsidR="00686FF9" w:rsidRDefault="00686FF9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9" w:name="_Ref39249696"/>
            <w:r w:rsidRPr="00B20B99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Конфиденциальнос</w:t>
            </w:r>
            <w:r w:rsidR="00F40425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т</w:t>
            </w:r>
            <w:r w:rsidRPr="00B20B99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ь</w:t>
            </w:r>
            <w:bookmarkEnd w:id="8"/>
            <w:bookmarkEnd w:id="9"/>
            <w:r w:rsidR="006F1FDE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 xml:space="preserve"> (раздел 10)</w:t>
            </w:r>
          </w:p>
        </w:tc>
        <w:tc>
          <w:tcPr>
            <w:tcW w:w="7234" w:type="dxa"/>
          </w:tcPr>
          <w:p w14:paraId="1D6D7F37" w14:textId="2377F72D" w:rsidR="00686FF9" w:rsidRDefault="006F1FDE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Стороны не могут раскрывать кому-либо кроме потенциальных инвесторов какую-либо информацию об Опционной программе и соглашении о присоединении к ней, кроме общей информации о факте их существования в Обществе. </w:t>
            </w:r>
          </w:p>
        </w:tc>
      </w:tr>
      <w:tr w:rsidR="003E6CCC" w:rsidRPr="000F0E24" w14:paraId="63751A07" w14:textId="77777777" w:rsidTr="006E57FD">
        <w:tc>
          <w:tcPr>
            <w:tcW w:w="1980" w:type="dxa"/>
          </w:tcPr>
          <w:p w14:paraId="41F762F5" w14:textId="1F2B3B8B" w:rsidR="003E6CCC" w:rsidRPr="00B20B99" w:rsidRDefault="006F1FDE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Разрешение споров (раздел 13)</w:t>
            </w:r>
          </w:p>
        </w:tc>
        <w:tc>
          <w:tcPr>
            <w:tcW w:w="7234" w:type="dxa"/>
          </w:tcPr>
          <w:p w14:paraId="4A9C2646" w14:textId="3B16B1A0" w:rsidR="003E6CCC" w:rsidRDefault="006F1FDE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Исходя из относительной новизны опционных программ для сотрудников в России предусмотрено разрешение споров в третейском суде.</w:t>
            </w:r>
          </w:p>
        </w:tc>
      </w:tr>
      <w:tr w:rsidR="003E6CCC" w:rsidRPr="000F0E24" w14:paraId="662EADA8" w14:textId="77777777" w:rsidTr="006E57FD">
        <w:tc>
          <w:tcPr>
            <w:tcW w:w="1980" w:type="dxa"/>
          </w:tcPr>
          <w:p w14:paraId="51BCDF88" w14:textId="5835EE19" w:rsidR="003E6CCC" w:rsidRPr="00B20B99" w:rsidRDefault="006F1FDE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lastRenderedPageBreak/>
              <w:t xml:space="preserve">Доля Получателя опциона, размер вклада, График </w:t>
            </w:r>
            <w:proofErr w:type="spellStart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вестинга</w:t>
            </w:r>
            <w:proofErr w:type="spellEnd"/>
          </w:p>
        </w:tc>
        <w:tc>
          <w:tcPr>
            <w:tcW w:w="7234" w:type="dxa"/>
          </w:tcPr>
          <w:p w14:paraId="55D84DD4" w14:textId="10DEECFB" w:rsidR="003E6CCC" w:rsidRPr="006F1FDE" w:rsidRDefault="006F1FDE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Эти условия установлены в соглашении о присоединении к Опционной программе. Они являются переменными параметрами и согласовываются с каждым Получателем опциона индивидуально. Например, Получатель </w:t>
            </w:r>
            <w:r w:rsidR="005B4024">
              <w:rPr>
                <w:color w:val="000000"/>
                <w:sz w:val="22"/>
                <w:szCs w:val="22"/>
                <w:lang w:val="ru-RU"/>
              </w:rPr>
              <w:t>опциона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вправе суммарно приобрести долю номинальной стоимостью </w:t>
            </w:r>
            <w:r w:rsidRPr="006F1FDE">
              <w:rPr>
                <w:color w:val="000000"/>
                <w:sz w:val="22"/>
                <w:szCs w:val="22"/>
                <w:lang w:val="ru-RU"/>
              </w:rPr>
              <w:t>[</w:t>
            </w:r>
            <w:r w:rsidRPr="006F1FDE">
              <w:rPr>
                <w:color w:val="000000"/>
                <w:sz w:val="22"/>
                <w:szCs w:val="22"/>
                <w:highlight w:val="yellow"/>
                <w:lang w:val="ru-RU"/>
              </w:rPr>
              <w:t>500</w:t>
            </w:r>
            <w:r w:rsidRPr="006F1FDE">
              <w:rPr>
                <w:color w:val="000000"/>
                <w:sz w:val="22"/>
                <w:szCs w:val="22"/>
                <w:lang w:val="ru-RU"/>
              </w:rPr>
              <w:t xml:space="preserve">] 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рублей. Суммарный размер его вклада за такую долю составит </w:t>
            </w:r>
            <w:r w:rsidRPr="006F1FDE">
              <w:rPr>
                <w:color w:val="000000"/>
                <w:sz w:val="22"/>
                <w:szCs w:val="22"/>
                <w:lang w:val="ru-RU"/>
              </w:rPr>
              <w:t>[</w:t>
            </w:r>
            <w:r w:rsidRPr="006F1FDE">
              <w:rPr>
                <w:color w:val="000000"/>
                <w:sz w:val="22"/>
                <w:szCs w:val="22"/>
                <w:highlight w:val="yellow"/>
                <w:lang w:val="ru-RU"/>
              </w:rPr>
              <w:t>500</w:t>
            </w:r>
            <w:r w:rsidRPr="006F1FDE">
              <w:rPr>
                <w:color w:val="000000"/>
                <w:sz w:val="22"/>
                <w:szCs w:val="22"/>
                <w:highlight w:val="yellow"/>
                <w:lang w:val="en-US"/>
              </w:rPr>
              <w:t> </w:t>
            </w:r>
            <w:r w:rsidRPr="006F1FDE">
              <w:rPr>
                <w:color w:val="000000"/>
                <w:sz w:val="22"/>
                <w:szCs w:val="22"/>
                <w:highlight w:val="yellow"/>
                <w:lang w:val="ru-RU"/>
              </w:rPr>
              <w:t>000</w:t>
            </w:r>
            <w:r w:rsidRPr="006F1FDE">
              <w:rPr>
                <w:color w:val="000000"/>
                <w:sz w:val="22"/>
                <w:szCs w:val="22"/>
                <w:lang w:val="ru-RU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рублей.</w:t>
            </w:r>
            <w:r w:rsidR="006E57FD">
              <w:rPr>
                <w:color w:val="000000"/>
                <w:sz w:val="22"/>
                <w:szCs w:val="22"/>
                <w:lang w:val="ru-RU"/>
              </w:rPr>
              <w:t xml:space="preserve"> Получатель опциона приобретает доли раз в год равными долями на протяжении </w:t>
            </w:r>
            <w:r w:rsidR="006E57FD" w:rsidRPr="006E57FD">
              <w:rPr>
                <w:color w:val="000000"/>
                <w:sz w:val="22"/>
                <w:szCs w:val="22"/>
                <w:lang w:val="ru-RU"/>
              </w:rPr>
              <w:t>[</w:t>
            </w:r>
            <w:r w:rsidR="006E57FD" w:rsidRPr="006E57FD">
              <w:rPr>
                <w:color w:val="000000"/>
                <w:sz w:val="22"/>
                <w:szCs w:val="22"/>
                <w:highlight w:val="yellow"/>
                <w:lang w:val="ru-RU"/>
              </w:rPr>
              <w:t>4</w:t>
            </w:r>
            <w:r w:rsidR="006E57FD" w:rsidRPr="006E57FD">
              <w:rPr>
                <w:color w:val="000000"/>
                <w:sz w:val="22"/>
                <w:szCs w:val="22"/>
                <w:lang w:val="ru-RU"/>
              </w:rPr>
              <w:t>]</w:t>
            </w:r>
            <w:r w:rsidR="006E57FD">
              <w:rPr>
                <w:color w:val="000000"/>
                <w:sz w:val="22"/>
                <w:szCs w:val="22"/>
                <w:lang w:val="ru-RU"/>
              </w:rPr>
              <w:t xml:space="preserve"> лет.  </w:t>
            </w:r>
          </w:p>
        </w:tc>
      </w:tr>
    </w:tbl>
    <w:p w14:paraId="3826368D" w14:textId="77777777" w:rsidR="00861291" w:rsidRDefault="00861291" w:rsidP="00323EC1">
      <w:pPr>
        <w:spacing w:after="240"/>
        <w:rPr>
          <w:lang w:val="ru-RU"/>
        </w:rPr>
      </w:pPr>
    </w:p>
    <w:sectPr w:rsidR="00861291">
      <w:headerReference w:type="default" r:id="rId8"/>
      <w:footerReference w:type="default" r:id="rId9"/>
      <w:footerReference w:type="first" r:id="rId10"/>
      <w:pgSz w:w="11909" w:h="16834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EE645" w14:textId="77777777" w:rsidR="006E4D54" w:rsidRDefault="006E4D54">
      <w:r>
        <w:separator/>
      </w:r>
    </w:p>
  </w:endnote>
  <w:endnote w:type="continuationSeparator" w:id="0">
    <w:p w14:paraId="75697BC4" w14:textId="77777777" w:rsidR="006E4D54" w:rsidRDefault="006E4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776140744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07C6C14C" w14:textId="77777777" w:rsidR="00A2320C" w:rsidRPr="00A2320C" w:rsidRDefault="00A2320C" w:rsidP="00A2320C">
        <w:pPr>
          <w:jc w:val="center"/>
          <w:rPr>
            <w:sz w:val="22"/>
            <w:szCs w:val="22"/>
          </w:rPr>
        </w:pPr>
      </w:p>
      <w:p w14:paraId="6EF24877" w14:textId="77777777" w:rsidR="00A2320C" w:rsidRPr="00A2320C" w:rsidRDefault="00A2320C" w:rsidP="00A2320C">
        <w:pPr>
          <w:jc w:val="center"/>
          <w:rPr>
            <w:sz w:val="22"/>
            <w:szCs w:val="22"/>
          </w:rPr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32"/>
          <w:gridCol w:w="3000"/>
          <w:gridCol w:w="2997"/>
        </w:tblGrid>
        <w:tr w:rsidR="00A2320C" w:rsidRPr="005F0402" w14:paraId="2C3756CF" w14:textId="77777777" w:rsidTr="00BC4B22">
          <w:tc>
            <w:tcPr>
              <w:tcW w:w="3041" w:type="dxa"/>
              <w:vAlign w:val="center"/>
            </w:tcPr>
            <w:p w14:paraId="5FD2DE7C" w14:textId="6A6D85B9" w:rsidR="00A2320C" w:rsidRPr="005F0402" w:rsidRDefault="000F0E24" w:rsidP="00A2320C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Pr="00EA0D04">
                  <w:rPr>
                    <w:rStyle w:val="af6"/>
                    <w:rFonts w:ascii="Arial" w:hAnsi="Arial" w:cs="Arial"/>
                    <w:sz w:val="16"/>
                    <w:szCs w:val="16"/>
                  </w:rPr>
                  <w:t>www.buzko.legal</w:t>
                </w:r>
              </w:hyperlink>
            </w:p>
          </w:tc>
          <w:tc>
            <w:tcPr>
              <w:tcW w:w="3016" w:type="dxa"/>
              <w:vAlign w:val="center"/>
            </w:tcPr>
            <w:p w14:paraId="37AE328F" w14:textId="31FE8981" w:rsidR="00A2320C" w:rsidRPr="00A2320C" w:rsidRDefault="00A2320C" w:rsidP="00A2320C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center" w:pos="4680"/>
                  <w:tab w:val="right" w:pos="9360"/>
                </w:tabs>
                <w:jc w:val="center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fldChar w:fldCharType="begin"/>
              </w:r>
              <w:r>
                <w:rPr>
                  <w:color w:val="000000"/>
                  <w:sz w:val="22"/>
                  <w:szCs w:val="22"/>
                </w:rPr>
                <w:instrText>PAGE</w:instrText>
              </w:r>
              <w:r>
                <w:rPr>
                  <w:color w:val="000000"/>
                  <w:sz w:val="22"/>
                  <w:szCs w:val="22"/>
                </w:rPr>
                <w:fldChar w:fldCharType="separate"/>
              </w:r>
              <w:r>
                <w:rPr>
                  <w:color w:val="000000"/>
                  <w:sz w:val="22"/>
                  <w:szCs w:val="22"/>
                </w:rPr>
                <w:t>2</w:t>
              </w:r>
              <w:r>
                <w:rPr>
                  <w:color w:val="000000"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30D666ED" w14:textId="77777777" w:rsidR="00A2320C" w:rsidRPr="005F0402" w:rsidRDefault="00A2320C" w:rsidP="00A2320C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708C7A36" w14:textId="39039089" w:rsidR="00A2320C" w:rsidRDefault="00000000"/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0D622" w14:textId="1EB387BB" w:rsidR="00C730AA" w:rsidRPr="00C730AA" w:rsidRDefault="00C730AA">
    <w:pPr>
      <w:rPr>
        <w:sz w:val="22"/>
        <w:szCs w:val="22"/>
      </w:rPr>
    </w:pPr>
  </w:p>
  <w:p w14:paraId="686ADF4E" w14:textId="77777777" w:rsidR="00C730AA" w:rsidRPr="00C730AA" w:rsidRDefault="00C730AA">
    <w:pPr>
      <w:rPr>
        <w:sz w:val="22"/>
        <w:szCs w:val="22"/>
      </w:rPr>
    </w:pPr>
  </w:p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32"/>
      <w:gridCol w:w="3000"/>
      <w:gridCol w:w="2997"/>
    </w:tblGrid>
    <w:tr w:rsidR="00C730AA" w:rsidRPr="005F0402" w14:paraId="68AB906F" w14:textId="77777777" w:rsidTr="00C730AA">
      <w:tc>
        <w:tcPr>
          <w:tcW w:w="3032" w:type="dxa"/>
          <w:vAlign w:val="center"/>
        </w:tcPr>
        <w:p w14:paraId="05C93E74" w14:textId="563EA8AA" w:rsidR="00C730AA" w:rsidRPr="005F0402" w:rsidRDefault="000F0E24" w:rsidP="00C730AA">
          <w:pPr>
            <w:tabs>
              <w:tab w:val="center" w:pos="4153"/>
              <w:tab w:val="right" w:pos="8306"/>
            </w:tabs>
            <w:rPr>
              <w:rFonts w:ascii="Arial" w:eastAsia="SimSun" w:hAnsi="Arial" w:cs="Arial"/>
              <w:lang w:eastAsia="zh-CN"/>
            </w:rPr>
          </w:pPr>
          <w:hyperlink r:id="rId1" w:history="1">
            <w:r w:rsidRPr="00EA0D04">
              <w:rPr>
                <w:rStyle w:val="af6"/>
                <w:rFonts w:ascii="Arial" w:hAnsi="Arial" w:cs="Arial"/>
                <w:sz w:val="16"/>
                <w:szCs w:val="16"/>
              </w:rPr>
              <w:t>www.buzko.legal</w:t>
            </w:r>
          </w:hyperlink>
        </w:p>
      </w:tc>
      <w:tc>
        <w:tcPr>
          <w:tcW w:w="3000" w:type="dxa"/>
          <w:vAlign w:val="center"/>
        </w:tcPr>
        <w:p w14:paraId="146DA79C" w14:textId="6705B363" w:rsidR="00C730AA" w:rsidRPr="00A2320C" w:rsidRDefault="00C730AA" w:rsidP="00C730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color w:val="000000"/>
              <w:sz w:val="22"/>
              <w:szCs w:val="22"/>
            </w:rPr>
          </w:pPr>
        </w:p>
      </w:tc>
      <w:tc>
        <w:tcPr>
          <w:tcW w:w="2997" w:type="dxa"/>
          <w:vAlign w:val="center"/>
        </w:tcPr>
        <w:p w14:paraId="4DC3B961" w14:textId="77777777" w:rsidR="00C730AA" w:rsidRPr="005F0402" w:rsidRDefault="00C730AA" w:rsidP="00C730AA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lang w:val="en-GB" w:eastAsia="zh-CN"/>
            </w:rPr>
          </w:pPr>
        </w:p>
      </w:tc>
    </w:tr>
  </w:tbl>
  <w:p w14:paraId="17275317" w14:textId="77777777" w:rsidR="00C730AA" w:rsidRPr="00C730AA" w:rsidRDefault="00C730AA">
    <w:pPr>
      <w:pStyle w:val="a9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34FC5" w14:textId="77777777" w:rsidR="006E4D54" w:rsidRDefault="006E4D54">
      <w:r>
        <w:separator/>
      </w:r>
    </w:p>
  </w:footnote>
  <w:footnote w:type="continuationSeparator" w:id="0">
    <w:p w14:paraId="57CC13B5" w14:textId="77777777" w:rsidR="006E4D54" w:rsidRDefault="006E4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F88F9" w14:textId="77777777" w:rsidR="00292B2F" w:rsidRDefault="00292B2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  <w:p w14:paraId="04B67D78" w14:textId="77777777" w:rsidR="00292B2F" w:rsidRDefault="00292B2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A72AE"/>
    <w:multiLevelType w:val="hybridMultilevel"/>
    <w:tmpl w:val="B3E4A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2C016B"/>
    <w:multiLevelType w:val="hybridMultilevel"/>
    <w:tmpl w:val="4B381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8432AD"/>
    <w:multiLevelType w:val="hybridMultilevel"/>
    <w:tmpl w:val="AA122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4472C"/>
    <w:multiLevelType w:val="multilevel"/>
    <w:tmpl w:val="5BCC17F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75338"/>
    <w:multiLevelType w:val="hybridMultilevel"/>
    <w:tmpl w:val="C8889F0A"/>
    <w:lvl w:ilvl="0" w:tplc="4A0ADDDC">
      <w:start w:val="8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E85DB1"/>
    <w:multiLevelType w:val="multilevel"/>
    <w:tmpl w:val="278A44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02C7E64"/>
    <w:multiLevelType w:val="hybridMultilevel"/>
    <w:tmpl w:val="40AC7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09C2CFB"/>
    <w:multiLevelType w:val="hybridMultilevel"/>
    <w:tmpl w:val="B78AA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FB0817"/>
    <w:multiLevelType w:val="hybridMultilevel"/>
    <w:tmpl w:val="DBA017F2"/>
    <w:lvl w:ilvl="0" w:tplc="95DA4E0A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ECD2646"/>
    <w:multiLevelType w:val="multilevel"/>
    <w:tmpl w:val="278A44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63141C4"/>
    <w:multiLevelType w:val="hybridMultilevel"/>
    <w:tmpl w:val="9E2EDBE4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6E24A8D"/>
    <w:multiLevelType w:val="hybridMultilevel"/>
    <w:tmpl w:val="A5AA0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876371C"/>
    <w:multiLevelType w:val="hybridMultilevel"/>
    <w:tmpl w:val="D5FA8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95C34DF"/>
    <w:multiLevelType w:val="hybridMultilevel"/>
    <w:tmpl w:val="FB5EC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B172467"/>
    <w:multiLevelType w:val="hybridMultilevel"/>
    <w:tmpl w:val="8ACE7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A7664F"/>
    <w:multiLevelType w:val="hybridMultilevel"/>
    <w:tmpl w:val="69EC2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F61212D"/>
    <w:multiLevelType w:val="hybridMultilevel"/>
    <w:tmpl w:val="D1205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B25F87"/>
    <w:multiLevelType w:val="hybridMultilevel"/>
    <w:tmpl w:val="34F28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65667E"/>
    <w:multiLevelType w:val="hybridMultilevel"/>
    <w:tmpl w:val="2F926C6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C267D8"/>
    <w:multiLevelType w:val="hybridMultilevel"/>
    <w:tmpl w:val="2F90F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F958E3"/>
    <w:multiLevelType w:val="hybridMultilevel"/>
    <w:tmpl w:val="CBECB9DA"/>
    <w:lvl w:ilvl="0" w:tplc="79AC59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E123BF"/>
    <w:multiLevelType w:val="hybridMultilevel"/>
    <w:tmpl w:val="37ECC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3678407">
    <w:abstractNumId w:val="5"/>
  </w:num>
  <w:num w:numId="2" w16cid:durableId="1727953894">
    <w:abstractNumId w:val="3"/>
  </w:num>
  <w:num w:numId="3" w16cid:durableId="213086935">
    <w:abstractNumId w:val="9"/>
  </w:num>
  <w:num w:numId="4" w16cid:durableId="537937318">
    <w:abstractNumId w:val="18"/>
  </w:num>
  <w:num w:numId="5" w16cid:durableId="1682124515">
    <w:abstractNumId w:val="4"/>
  </w:num>
  <w:num w:numId="6" w16cid:durableId="793796251">
    <w:abstractNumId w:val="20"/>
  </w:num>
  <w:num w:numId="7" w16cid:durableId="1937399330">
    <w:abstractNumId w:val="7"/>
  </w:num>
  <w:num w:numId="8" w16cid:durableId="1363089779">
    <w:abstractNumId w:val="1"/>
  </w:num>
  <w:num w:numId="9" w16cid:durableId="1090857166">
    <w:abstractNumId w:val="6"/>
  </w:num>
  <w:num w:numId="10" w16cid:durableId="209653509">
    <w:abstractNumId w:val="13"/>
  </w:num>
  <w:num w:numId="11" w16cid:durableId="1674990532">
    <w:abstractNumId w:val="10"/>
  </w:num>
  <w:num w:numId="12" w16cid:durableId="1885363529">
    <w:abstractNumId w:val="12"/>
  </w:num>
  <w:num w:numId="13" w16cid:durableId="351029497">
    <w:abstractNumId w:val="15"/>
  </w:num>
  <w:num w:numId="14" w16cid:durableId="1987313965">
    <w:abstractNumId w:val="11"/>
  </w:num>
  <w:num w:numId="15" w16cid:durableId="1162889018">
    <w:abstractNumId w:val="21"/>
  </w:num>
  <w:num w:numId="16" w16cid:durableId="682971310">
    <w:abstractNumId w:val="0"/>
  </w:num>
  <w:num w:numId="17" w16cid:durableId="335111852">
    <w:abstractNumId w:val="22"/>
  </w:num>
  <w:num w:numId="18" w16cid:durableId="537397312">
    <w:abstractNumId w:val="2"/>
  </w:num>
  <w:num w:numId="19" w16cid:durableId="1734692192">
    <w:abstractNumId w:val="17"/>
  </w:num>
  <w:num w:numId="20" w16cid:durableId="1058673883">
    <w:abstractNumId w:val="19"/>
  </w:num>
  <w:num w:numId="21" w16cid:durableId="1729259318">
    <w:abstractNumId w:val="14"/>
  </w:num>
  <w:num w:numId="22" w16cid:durableId="1356493528">
    <w:abstractNumId w:val="8"/>
  </w:num>
  <w:num w:numId="23" w16cid:durableId="17245645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B2F"/>
    <w:rsid w:val="000046E7"/>
    <w:rsid w:val="0002113B"/>
    <w:rsid w:val="00026A30"/>
    <w:rsid w:val="0004096F"/>
    <w:rsid w:val="000411C5"/>
    <w:rsid w:val="00051550"/>
    <w:rsid w:val="00064E80"/>
    <w:rsid w:val="000842A1"/>
    <w:rsid w:val="00085C36"/>
    <w:rsid w:val="00087FAF"/>
    <w:rsid w:val="00093758"/>
    <w:rsid w:val="000A4900"/>
    <w:rsid w:val="000B24B3"/>
    <w:rsid w:val="000C02FE"/>
    <w:rsid w:val="000C3B0A"/>
    <w:rsid w:val="000D4AB7"/>
    <w:rsid w:val="000D4FEF"/>
    <w:rsid w:val="000E42FD"/>
    <w:rsid w:val="000F0E24"/>
    <w:rsid w:val="001059AE"/>
    <w:rsid w:val="00110B01"/>
    <w:rsid w:val="00110EFC"/>
    <w:rsid w:val="0011390C"/>
    <w:rsid w:val="00131C21"/>
    <w:rsid w:val="00137C7E"/>
    <w:rsid w:val="001435D7"/>
    <w:rsid w:val="00145169"/>
    <w:rsid w:val="0014721D"/>
    <w:rsid w:val="00171578"/>
    <w:rsid w:val="001773A8"/>
    <w:rsid w:val="001B376C"/>
    <w:rsid w:val="001C3AC5"/>
    <w:rsid w:val="001C3ED7"/>
    <w:rsid w:val="001D4F45"/>
    <w:rsid w:val="001D6267"/>
    <w:rsid w:val="001F571B"/>
    <w:rsid w:val="00201460"/>
    <w:rsid w:val="00204CF8"/>
    <w:rsid w:val="00206CA2"/>
    <w:rsid w:val="00206DD6"/>
    <w:rsid w:val="00217678"/>
    <w:rsid w:val="00220185"/>
    <w:rsid w:val="00222E46"/>
    <w:rsid w:val="00224081"/>
    <w:rsid w:val="00225D55"/>
    <w:rsid w:val="0023329B"/>
    <w:rsid w:val="002477FB"/>
    <w:rsid w:val="0025385E"/>
    <w:rsid w:val="002678EB"/>
    <w:rsid w:val="00277548"/>
    <w:rsid w:val="002907D8"/>
    <w:rsid w:val="00292B2F"/>
    <w:rsid w:val="002953F2"/>
    <w:rsid w:val="0029795A"/>
    <w:rsid w:val="002A4595"/>
    <w:rsid w:val="002B0F23"/>
    <w:rsid w:val="002F0027"/>
    <w:rsid w:val="002F4078"/>
    <w:rsid w:val="00303F15"/>
    <w:rsid w:val="0030407B"/>
    <w:rsid w:val="00311B92"/>
    <w:rsid w:val="003129FF"/>
    <w:rsid w:val="00317A80"/>
    <w:rsid w:val="00320E90"/>
    <w:rsid w:val="00322E07"/>
    <w:rsid w:val="00323EC1"/>
    <w:rsid w:val="0032457B"/>
    <w:rsid w:val="00326B71"/>
    <w:rsid w:val="00330A01"/>
    <w:rsid w:val="00334A01"/>
    <w:rsid w:val="00334E04"/>
    <w:rsid w:val="00336289"/>
    <w:rsid w:val="0033700B"/>
    <w:rsid w:val="00342F60"/>
    <w:rsid w:val="0034300F"/>
    <w:rsid w:val="0034603C"/>
    <w:rsid w:val="00353D01"/>
    <w:rsid w:val="0035577F"/>
    <w:rsid w:val="003645D3"/>
    <w:rsid w:val="00366217"/>
    <w:rsid w:val="00376F79"/>
    <w:rsid w:val="00381209"/>
    <w:rsid w:val="003833AD"/>
    <w:rsid w:val="0039197B"/>
    <w:rsid w:val="0039777B"/>
    <w:rsid w:val="003A4C17"/>
    <w:rsid w:val="003B414F"/>
    <w:rsid w:val="003B7E1B"/>
    <w:rsid w:val="003C401C"/>
    <w:rsid w:val="003C6343"/>
    <w:rsid w:val="003C637E"/>
    <w:rsid w:val="003D390C"/>
    <w:rsid w:val="003D63F5"/>
    <w:rsid w:val="003D6D9C"/>
    <w:rsid w:val="003E404E"/>
    <w:rsid w:val="003E6CCC"/>
    <w:rsid w:val="003F566B"/>
    <w:rsid w:val="003F5B4E"/>
    <w:rsid w:val="00404342"/>
    <w:rsid w:val="00413977"/>
    <w:rsid w:val="00442BAC"/>
    <w:rsid w:val="00444003"/>
    <w:rsid w:val="00452A2F"/>
    <w:rsid w:val="004553D5"/>
    <w:rsid w:val="00464BA4"/>
    <w:rsid w:val="00472257"/>
    <w:rsid w:val="0048218F"/>
    <w:rsid w:val="004A47A1"/>
    <w:rsid w:val="004A7099"/>
    <w:rsid w:val="004B4E61"/>
    <w:rsid w:val="004B5B82"/>
    <w:rsid w:val="004C0813"/>
    <w:rsid w:val="004C32B0"/>
    <w:rsid w:val="004D2F24"/>
    <w:rsid w:val="004D3399"/>
    <w:rsid w:val="004E0102"/>
    <w:rsid w:val="0051146A"/>
    <w:rsid w:val="00520034"/>
    <w:rsid w:val="005303DB"/>
    <w:rsid w:val="00555FC5"/>
    <w:rsid w:val="0055708E"/>
    <w:rsid w:val="00566942"/>
    <w:rsid w:val="00574933"/>
    <w:rsid w:val="00576CE0"/>
    <w:rsid w:val="0059281B"/>
    <w:rsid w:val="005938B8"/>
    <w:rsid w:val="005A153F"/>
    <w:rsid w:val="005A3649"/>
    <w:rsid w:val="005A7BC8"/>
    <w:rsid w:val="005B4024"/>
    <w:rsid w:val="005C6358"/>
    <w:rsid w:val="005D250F"/>
    <w:rsid w:val="005D464D"/>
    <w:rsid w:val="005E4091"/>
    <w:rsid w:val="005E7F91"/>
    <w:rsid w:val="005F3ED9"/>
    <w:rsid w:val="005F4446"/>
    <w:rsid w:val="005F5A13"/>
    <w:rsid w:val="00604F4D"/>
    <w:rsid w:val="006122D6"/>
    <w:rsid w:val="00622FCB"/>
    <w:rsid w:val="00623880"/>
    <w:rsid w:val="00650B75"/>
    <w:rsid w:val="00650F6E"/>
    <w:rsid w:val="0067440D"/>
    <w:rsid w:val="00682B69"/>
    <w:rsid w:val="00686FF9"/>
    <w:rsid w:val="006876B1"/>
    <w:rsid w:val="00694160"/>
    <w:rsid w:val="006A089C"/>
    <w:rsid w:val="006B3B41"/>
    <w:rsid w:val="006B4364"/>
    <w:rsid w:val="006C570D"/>
    <w:rsid w:val="006E4D54"/>
    <w:rsid w:val="006E57FD"/>
    <w:rsid w:val="006F0744"/>
    <w:rsid w:val="006F0EAE"/>
    <w:rsid w:val="006F1FDE"/>
    <w:rsid w:val="006F3B68"/>
    <w:rsid w:val="007019AF"/>
    <w:rsid w:val="007104EE"/>
    <w:rsid w:val="007115D2"/>
    <w:rsid w:val="00723F29"/>
    <w:rsid w:val="007266D7"/>
    <w:rsid w:val="00734171"/>
    <w:rsid w:val="007376BB"/>
    <w:rsid w:val="00750238"/>
    <w:rsid w:val="00751A57"/>
    <w:rsid w:val="007702B6"/>
    <w:rsid w:val="00777240"/>
    <w:rsid w:val="007B1D9F"/>
    <w:rsid w:val="007B25C9"/>
    <w:rsid w:val="007B4616"/>
    <w:rsid w:val="007B7882"/>
    <w:rsid w:val="007C78FA"/>
    <w:rsid w:val="007D05FD"/>
    <w:rsid w:val="007D3926"/>
    <w:rsid w:val="007E1F9B"/>
    <w:rsid w:val="007E36FE"/>
    <w:rsid w:val="007E4378"/>
    <w:rsid w:val="007E482F"/>
    <w:rsid w:val="007F1EC4"/>
    <w:rsid w:val="0080283B"/>
    <w:rsid w:val="00822BF2"/>
    <w:rsid w:val="00823275"/>
    <w:rsid w:val="00824D2F"/>
    <w:rsid w:val="00843621"/>
    <w:rsid w:val="00843E7E"/>
    <w:rsid w:val="00852475"/>
    <w:rsid w:val="00861291"/>
    <w:rsid w:val="008C11F2"/>
    <w:rsid w:val="008C26E9"/>
    <w:rsid w:val="008C6886"/>
    <w:rsid w:val="008D72F5"/>
    <w:rsid w:val="008E11F7"/>
    <w:rsid w:val="008E5C66"/>
    <w:rsid w:val="008E7DEA"/>
    <w:rsid w:val="008F08B1"/>
    <w:rsid w:val="008F561D"/>
    <w:rsid w:val="00916E7B"/>
    <w:rsid w:val="00952D57"/>
    <w:rsid w:val="00961179"/>
    <w:rsid w:val="00961B06"/>
    <w:rsid w:val="0096437D"/>
    <w:rsid w:val="00967D9C"/>
    <w:rsid w:val="009837C5"/>
    <w:rsid w:val="00987977"/>
    <w:rsid w:val="009A1F75"/>
    <w:rsid w:val="009A4CB7"/>
    <w:rsid w:val="009B2433"/>
    <w:rsid w:val="009B544C"/>
    <w:rsid w:val="009B60CB"/>
    <w:rsid w:val="009B795C"/>
    <w:rsid w:val="009D5863"/>
    <w:rsid w:val="009D757C"/>
    <w:rsid w:val="009F30CD"/>
    <w:rsid w:val="00A2320C"/>
    <w:rsid w:val="00A513F7"/>
    <w:rsid w:val="00A561F9"/>
    <w:rsid w:val="00A62C31"/>
    <w:rsid w:val="00A7096B"/>
    <w:rsid w:val="00A72DC1"/>
    <w:rsid w:val="00A86389"/>
    <w:rsid w:val="00A941D3"/>
    <w:rsid w:val="00AA7162"/>
    <w:rsid w:val="00AB0E23"/>
    <w:rsid w:val="00AB6823"/>
    <w:rsid w:val="00AC3465"/>
    <w:rsid w:val="00AD2BC4"/>
    <w:rsid w:val="00AE08BA"/>
    <w:rsid w:val="00AE1B47"/>
    <w:rsid w:val="00AE3566"/>
    <w:rsid w:val="00AE799D"/>
    <w:rsid w:val="00AF0808"/>
    <w:rsid w:val="00AF1A38"/>
    <w:rsid w:val="00AF4BA4"/>
    <w:rsid w:val="00B02499"/>
    <w:rsid w:val="00B15658"/>
    <w:rsid w:val="00B20B99"/>
    <w:rsid w:val="00B249D1"/>
    <w:rsid w:val="00B30FF4"/>
    <w:rsid w:val="00B32280"/>
    <w:rsid w:val="00B51985"/>
    <w:rsid w:val="00B522C8"/>
    <w:rsid w:val="00B6635F"/>
    <w:rsid w:val="00B66F5E"/>
    <w:rsid w:val="00B85036"/>
    <w:rsid w:val="00B91F31"/>
    <w:rsid w:val="00BA393A"/>
    <w:rsid w:val="00BA3FB1"/>
    <w:rsid w:val="00BA6064"/>
    <w:rsid w:val="00BB4D28"/>
    <w:rsid w:val="00BD54F1"/>
    <w:rsid w:val="00BE3A77"/>
    <w:rsid w:val="00BF0297"/>
    <w:rsid w:val="00BF12BC"/>
    <w:rsid w:val="00C01922"/>
    <w:rsid w:val="00C0702F"/>
    <w:rsid w:val="00C36A9D"/>
    <w:rsid w:val="00C40417"/>
    <w:rsid w:val="00C50D9B"/>
    <w:rsid w:val="00C60D14"/>
    <w:rsid w:val="00C730AA"/>
    <w:rsid w:val="00C74F0B"/>
    <w:rsid w:val="00C84702"/>
    <w:rsid w:val="00C85371"/>
    <w:rsid w:val="00C86ED3"/>
    <w:rsid w:val="00C9420E"/>
    <w:rsid w:val="00C9466A"/>
    <w:rsid w:val="00C9639D"/>
    <w:rsid w:val="00CA260C"/>
    <w:rsid w:val="00CA33FE"/>
    <w:rsid w:val="00CB286E"/>
    <w:rsid w:val="00CB5E3E"/>
    <w:rsid w:val="00CC014A"/>
    <w:rsid w:val="00CD57B0"/>
    <w:rsid w:val="00CE13AC"/>
    <w:rsid w:val="00CF0E48"/>
    <w:rsid w:val="00CF1B53"/>
    <w:rsid w:val="00D112B8"/>
    <w:rsid w:val="00D1695A"/>
    <w:rsid w:val="00D312FA"/>
    <w:rsid w:val="00D34A06"/>
    <w:rsid w:val="00D355B7"/>
    <w:rsid w:val="00D502F1"/>
    <w:rsid w:val="00D51E5F"/>
    <w:rsid w:val="00D52948"/>
    <w:rsid w:val="00D55072"/>
    <w:rsid w:val="00D6433D"/>
    <w:rsid w:val="00D725A2"/>
    <w:rsid w:val="00D81D62"/>
    <w:rsid w:val="00D832FB"/>
    <w:rsid w:val="00D95891"/>
    <w:rsid w:val="00DA08C8"/>
    <w:rsid w:val="00DA5232"/>
    <w:rsid w:val="00DB5CB8"/>
    <w:rsid w:val="00DB6764"/>
    <w:rsid w:val="00DB6A2B"/>
    <w:rsid w:val="00DF70EE"/>
    <w:rsid w:val="00E02A9B"/>
    <w:rsid w:val="00E049F3"/>
    <w:rsid w:val="00E12E1F"/>
    <w:rsid w:val="00E136B4"/>
    <w:rsid w:val="00E36147"/>
    <w:rsid w:val="00E37EB1"/>
    <w:rsid w:val="00E400C2"/>
    <w:rsid w:val="00E41B2B"/>
    <w:rsid w:val="00E425C3"/>
    <w:rsid w:val="00E4625E"/>
    <w:rsid w:val="00E52450"/>
    <w:rsid w:val="00E54102"/>
    <w:rsid w:val="00EA6CFC"/>
    <w:rsid w:val="00EA6DE1"/>
    <w:rsid w:val="00EC03F5"/>
    <w:rsid w:val="00EC0A60"/>
    <w:rsid w:val="00EC1593"/>
    <w:rsid w:val="00EC3989"/>
    <w:rsid w:val="00ED4642"/>
    <w:rsid w:val="00ED48AF"/>
    <w:rsid w:val="00EE3D10"/>
    <w:rsid w:val="00EE7EE8"/>
    <w:rsid w:val="00F17B75"/>
    <w:rsid w:val="00F36540"/>
    <w:rsid w:val="00F40425"/>
    <w:rsid w:val="00F41215"/>
    <w:rsid w:val="00F52726"/>
    <w:rsid w:val="00F74018"/>
    <w:rsid w:val="00F80E79"/>
    <w:rsid w:val="00F81744"/>
    <w:rsid w:val="00F830D7"/>
    <w:rsid w:val="00F91037"/>
    <w:rsid w:val="00F945E7"/>
    <w:rsid w:val="00F94825"/>
    <w:rsid w:val="00F95380"/>
    <w:rsid w:val="00FD2731"/>
    <w:rsid w:val="00FE0B3C"/>
    <w:rsid w:val="00FE231C"/>
    <w:rsid w:val="00FF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F0EF2"/>
  <w15:docId w15:val="{9088FD3B-5E55-4BA6-BB54-7698CFB82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before="120" w:after="120"/>
      <w:jc w:val="both"/>
      <w:outlineLvl w:val="0"/>
    </w:pPr>
    <w:rPr>
      <w:b/>
      <w:smallCaps/>
      <w:sz w:val="22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pPr>
      <w:spacing w:after="240"/>
      <w:ind w:left="720" w:hanging="72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after="240"/>
      <w:ind w:left="1440" w:hanging="720"/>
      <w:jc w:val="both"/>
      <w:outlineLvl w:val="2"/>
    </w:pPr>
    <w:rPr>
      <w:sz w:val="22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pPr>
      <w:spacing w:after="240"/>
      <w:ind w:left="2160" w:hanging="720"/>
      <w:jc w:val="both"/>
      <w:outlineLvl w:val="3"/>
    </w:pPr>
    <w:rPr>
      <w:sz w:val="22"/>
      <w:szCs w:val="22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after="240"/>
      <w:ind w:left="2880" w:hanging="720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spacing w:after="240"/>
      <w:ind w:left="720" w:hanging="720"/>
      <w:jc w:val="both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spacing w:after="60"/>
      <w:jc w:val="center"/>
    </w:pPr>
    <w:rPr>
      <w:rFonts w:ascii="Cambria" w:eastAsia="Cambria" w:hAnsi="Cambria" w:cs="Cambria"/>
    </w:rPr>
  </w:style>
  <w:style w:type="table" w:customStyle="1" w:styleId="a5">
    <w:basedOn w:val="TableNormal1"/>
    <w:tblPr>
      <w:tblStyleRowBandSize w:val="1"/>
      <w:tblStyleColBandSize w:val="1"/>
      <w:tblCellMar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</w:tblPr>
  </w:style>
  <w:style w:type="paragraph" w:styleId="a7">
    <w:name w:val="header"/>
    <w:basedOn w:val="a"/>
    <w:link w:val="a8"/>
    <w:uiPriority w:val="99"/>
    <w:unhideWhenUsed/>
    <w:rsid w:val="003B7E1B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7E1B"/>
  </w:style>
  <w:style w:type="paragraph" w:styleId="a9">
    <w:name w:val="footer"/>
    <w:basedOn w:val="a"/>
    <w:link w:val="aa"/>
    <w:uiPriority w:val="99"/>
    <w:unhideWhenUsed/>
    <w:rsid w:val="003B7E1B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7E1B"/>
  </w:style>
  <w:style w:type="character" w:styleId="ab">
    <w:name w:val="annotation reference"/>
    <w:basedOn w:val="a0"/>
    <w:uiPriority w:val="99"/>
    <w:semiHidden/>
    <w:unhideWhenUsed/>
    <w:rsid w:val="007B1D9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1D9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1D9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1D9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1D9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1D9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1D9F"/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7F1EC4"/>
    <w:pPr>
      <w:ind w:left="720"/>
      <w:contextualSpacing/>
    </w:pPr>
  </w:style>
  <w:style w:type="paragraph" w:styleId="af3">
    <w:name w:val="Body Text"/>
    <w:aliases w:val="A1"/>
    <w:basedOn w:val="a"/>
    <w:link w:val="af4"/>
    <w:rsid w:val="00225D55"/>
    <w:pPr>
      <w:spacing w:after="240"/>
      <w:jc w:val="both"/>
    </w:pPr>
    <w:rPr>
      <w:lang w:val="en-US"/>
    </w:rPr>
  </w:style>
  <w:style w:type="character" w:customStyle="1" w:styleId="BodyTextChar">
    <w:name w:val="Body Text Char"/>
    <w:basedOn w:val="a0"/>
    <w:uiPriority w:val="99"/>
    <w:semiHidden/>
    <w:rsid w:val="00225D55"/>
  </w:style>
  <w:style w:type="character" w:customStyle="1" w:styleId="af4">
    <w:name w:val="Основной текст Знак"/>
    <w:aliases w:val="A1 Знак"/>
    <w:link w:val="af3"/>
    <w:rsid w:val="00225D55"/>
    <w:rPr>
      <w:lang w:val="en-US"/>
    </w:rPr>
  </w:style>
  <w:style w:type="table" w:styleId="af5">
    <w:name w:val="Table Grid"/>
    <w:basedOn w:val="a1"/>
    <w:rsid w:val="00225D55"/>
    <w:rPr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uiPriority w:val="99"/>
    <w:rsid w:val="00225D55"/>
    <w:rPr>
      <w:color w:val="0000FF"/>
      <w:u w:val="single"/>
    </w:rPr>
  </w:style>
  <w:style w:type="table" w:customStyle="1" w:styleId="TableGrid1">
    <w:name w:val="Table Grid1"/>
    <w:basedOn w:val="a1"/>
    <w:next w:val="af5"/>
    <w:rsid w:val="00A2320C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char">
    <w:name w:val="body char"/>
    <w:basedOn w:val="a0"/>
    <w:qFormat/>
    <w:rsid w:val="00861291"/>
    <w:rPr>
      <w:rFonts w:eastAsia="SimSun"/>
      <w:sz w:val="22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5A8BA-1C51-4034-BEB5-E8E185605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867</Words>
  <Characters>4942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5798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Лотов</dc:creator>
  <cp:keywords/>
  <dc:description/>
  <cp:lastModifiedBy>Vasily Agateev</cp:lastModifiedBy>
  <cp:revision>13</cp:revision>
  <dcterms:created xsi:type="dcterms:W3CDTF">2020-05-12T07:11:00Z</dcterms:created>
  <dcterms:modified xsi:type="dcterms:W3CDTF">2022-09-05T09:31:00Z</dcterms:modified>
  <cp:category/>
</cp:coreProperties>
</file>